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" w:eastAsia="黑体" w:cs="宋体"/>
          <w:color w:val="000000"/>
          <w:sz w:val="30"/>
          <w:szCs w:val="30"/>
        </w:rPr>
      </w:pPr>
      <w:r>
        <w:rPr>
          <w:rFonts w:hint="eastAsia" w:ascii="黑体" w:hAnsi="仿宋" w:eastAsia="黑体" w:cs="宋体"/>
          <w:color w:val="000000"/>
          <w:sz w:val="30"/>
          <w:szCs w:val="30"/>
        </w:rPr>
        <w:t>附件1</w:t>
      </w:r>
    </w:p>
    <w:p>
      <w:pPr>
        <w:widowControl/>
        <w:jc w:val="left"/>
        <w:rPr>
          <w:rFonts w:hint="eastAsia" w:ascii="黑体" w:hAnsi="仿宋" w:eastAsia="黑体" w:cs="宋体"/>
          <w:color w:val="000000"/>
          <w:sz w:val="30"/>
          <w:szCs w:val="30"/>
        </w:rPr>
      </w:pPr>
    </w:p>
    <w:p>
      <w:pPr>
        <w:widowControl/>
        <w:jc w:val="center"/>
        <w:rPr>
          <w:rFonts w:hint="eastAsia" w:ascii="方正小标宋简体" w:hAnsi="仿宋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sz w:val="36"/>
          <w:szCs w:val="36"/>
        </w:rPr>
        <w:t>2017年浙江省人力资源和社会保障科研重点</w:t>
      </w:r>
    </w:p>
    <w:p>
      <w:pPr>
        <w:ind w:firstLine="420"/>
        <w:rPr>
          <w:rFonts w:hint="eastAsia" w:ascii="仿宋_GB2312" w:eastAsia="仿宋_GB2312"/>
        </w:rPr>
      </w:pPr>
    </w:p>
    <w:p>
      <w:pPr>
        <w:ind w:firstLine="633" w:firstLineChars="19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一、宏观综合类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题要求结合党的十八大及历次全会及省委十三届九次、十次全会精神，按照习近平总书记提出的“秉持浙江精神，干在实处、走在前列、勇立潮头”新要求，牢固树立和落实五大发展理念，以“八八战略”为总纲，立足服务经济转型升级、增进民生福祉、维护社会稳定，坚持民生为本、人才优先，准确研判我省经济社会发展过程中就业创业、人才队伍建设、社会保障、人事制度改革、工资收入分配、劳动关系等各项事业发展的现状及存在的问题，深入剖析问题根源，针对现行政策和阶段规划等重大战略问题提出优化和调整建议。要求申报者具备宏观分析视野、微观研究能力和科学决策意识，突出研究的全局性、前瞻性、科学性、实用性。</w:t>
      </w:r>
    </w:p>
    <w:p>
      <w:pPr>
        <w:ind w:firstLine="633" w:firstLineChars="198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二、具体业务类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1.人才队伍建设。</w:t>
      </w:r>
      <w:r>
        <w:rPr>
          <w:rFonts w:hint="eastAsia" w:ascii="仿宋_GB2312" w:eastAsia="仿宋_GB2312"/>
          <w:sz w:val="32"/>
          <w:szCs w:val="32"/>
        </w:rPr>
        <w:t>以“提高人才供给质量”为目标，遵循人才成长发展规律，紧紧围绕我省重点领域重点产业，重点对人才培养、引进、流动、评价、激励、使用等重点环节存在的问题，如何创新人才政策和体制机制、构建更加开放包容的人才生态等深入研究并提出对策建议。</w:t>
      </w:r>
    </w:p>
    <w:p>
      <w:pPr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2.创业就业。</w:t>
      </w:r>
      <w:r>
        <w:rPr>
          <w:rFonts w:hint="eastAsia" w:ascii="仿宋_GB2312" w:eastAsia="仿宋_GB2312"/>
          <w:sz w:val="32"/>
          <w:szCs w:val="32"/>
        </w:rPr>
        <w:t>以“稳就业促创业”为目标，深入开展创业就业理论和实践研究，重点对完善就业创业政策体系、重点人群就业、加强创业就业公共服务、强化失业预警和企业用工监测分析等深入研究并提出对策建议。</w:t>
      </w:r>
    </w:p>
    <w:p>
      <w:pPr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3.社会保障。</w:t>
      </w:r>
      <w:r>
        <w:rPr>
          <w:rFonts w:hint="eastAsia" w:ascii="仿宋_GB2312" w:eastAsia="仿宋_GB2312"/>
          <w:sz w:val="32"/>
          <w:szCs w:val="32"/>
        </w:rPr>
        <w:t>以“公平可持续”为目标，深入开展社会保障理论和实践研究，重点对社会保障制度供给、社会保障可持续、职业年金和企业年金、长期护理保险、医疗保险异地就医结算、提高社会保险统筹层次、社保基金监管等深入研究并提出对策建议。</w:t>
      </w:r>
    </w:p>
    <w:p>
      <w:pPr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4.职业能力建设。</w:t>
      </w:r>
      <w:r>
        <w:rPr>
          <w:rFonts w:hint="eastAsia" w:ascii="仿宋_GB2312" w:eastAsia="仿宋_GB2312"/>
          <w:sz w:val="32"/>
          <w:szCs w:val="32"/>
        </w:rPr>
        <w:t>以“增量提质”为目标，深入开展职业能力建设理论和实践研究，重点对高技能人才实训基地建设、企业新型学徒制、职业培训包试点、养老护理员技能培训、技工教育等深入研究并提出对策建议。</w:t>
      </w:r>
    </w:p>
    <w:p>
      <w:pPr>
        <w:ind w:firstLine="633" w:firstLineChars="198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5.收入分配。</w:t>
      </w:r>
      <w:r>
        <w:rPr>
          <w:rFonts w:hint="eastAsia" w:ascii="仿宋_GB2312" w:eastAsia="仿宋_GB2312"/>
          <w:sz w:val="32"/>
          <w:szCs w:val="32"/>
        </w:rPr>
        <w:t>以“</w:t>
      </w:r>
      <w:r>
        <w:rPr>
          <w:rFonts w:hint="eastAsia" w:ascii="仿宋_GB2312" w:eastAsia="仿宋_GB2312"/>
          <w:color w:val="000000"/>
          <w:sz w:val="32"/>
          <w:szCs w:val="32"/>
        </w:rPr>
        <w:t>激发活力</w:t>
      </w:r>
      <w:r>
        <w:rPr>
          <w:rFonts w:hint="eastAsia" w:ascii="仿宋_GB2312" w:eastAsia="仿宋_GB2312"/>
          <w:sz w:val="32"/>
          <w:szCs w:val="32"/>
        </w:rPr>
        <w:t>”为目标，深入开展收入分配理论和实践研究，重点对司法体制改革和公立医院改革的薪酬配套改革、监察委员会工作人员待遇保障、省属高校绩效工资政策、科研院所绩效工资政策、最低工资标准调整、国企负责人薪酬宏观管理、制造业人工成本监测等深入研究并提出对策建议。</w:t>
      </w:r>
    </w:p>
    <w:p>
      <w:pPr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6.劳动关系和信访维稳。</w:t>
      </w:r>
      <w:r>
        <w:rPr>
          <w:rFonts w:hint="eastAsia" w:ascii="仿宋_GB2312" w:eastAsia="仿宋_GB2312"/>
          <w:sz w:val="32"/>
          <w:szCs w:val="32"/>
        </w:rPr>
        <w:t>以“</w:t>
      </w:r>
      <w:r>
        <w:rPr>
          <w:rFonts w:hint="eastAsia" w:ascii="仿宋_GB2312" w:eastAsia="仿宋_GB2312"/>
          <w:color w:val="000000"/>
          <w:sz w:val="32"/>
          <w:szCs w:val="32"/>
        </w:rPr>
        <w:t>共建共享</w:t>
      </w:r>
      <w:r>
        <w:rPr>
          <w:rFonts w:hint="eastAsia" w:ascii="仿宋_GB2312" w:eastAsia="仿宋_GB2312"/>
          <w:sz w:val="32"/>
          <w:szCs w:val="32"/>
        </w:rPr>
        <w:t>”为目标，深入开展劳动关系理论和实践研究，重点对“双爱”活动综合实验区创建、完善劳动关系和谐指数评价机制、劳动标准管理、化解过剩产能中的劳动关系处理、企业工资支付管理、拖欠农民工工资治理、劳动保障监察执法体制改革、劳动人事争议多元化解机制等深入研究并提出对策建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7.公务员队伍建设。</w:t>
      </w:r>
      <w:r>
        <w:rPr>
          <w:rFonts w:hint="eastAsia" w:ascii="仿宋_GB2312" w:eastAsia="仿宋_GB2312"/>
          <w:sz w:val="32"/>
          <w:szCs w:val="32"/>
        </w:rPr>
        <w:t>以“</w:t>
      </w:r>
      <w:r>
        <w:rPr>
          <w:rFonts w:hint="eastAsia" w:ascii="仿宋_GB2312" w:eastAsia="仿宋_GB2312"/>
          <w:color w:val="000000"/>
          <w:sz w:val="32"/>
          <w:szCs w:val="32"/>
        </w:rPr>
        <w:t>廉洁高效</w:t>
      </w:r>
      <w:r>
        <w:rPr>
          <w:rFonts w:hint="eastAsia" w:ascii="仿宋_GB2312" w:eastAsia="仿宋_GB2312"/>
          <w:sz w:val="32"/>
          <w:szCs w:val="32"/>
        </w:rPr>
        <w:t>”为目标，深入开展公务员队伍建设理论和实践研究，重点对公务员分类改革、公务员聘任制试点、公务员职业道德和职业能力、公务员“日志式”管理考核、公务员考试录用制度等深入研究并提出对策建议。</w:t>
      </w:r>
    </w:p>
    <w:p>
      <w:pPr>
        <w:ind w:firstLine="662" w:firstLineChars="207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8.人事制度改革。</w:t>
      </w:r>
      <w:r>
        <w:rPr>
          <w:rFonts w:hint="eastAsia" w:ascii="仿宋_GB2312" w:eastAsia="仿宋_GB2312"/>
          <w:sz w:val="32"/>
          <w:szCs w:val="32"/>
        </w:rPr>
        <w:t>以“</w:t>
      </w:r>
      <w:r>
        <w:rPr>
          <w:rFonts w:hint="eastAsia" w:ascii="仿宋_GB2312" w:eastAsia="仿宋_GB2312"/>
          <w:color w:val="000000"/>
          <w:sz w:val="32"/>
          <w:szCs w:val="32"/>
        </w:rPr>
        <w:t>规范科学</w:t>
      </w:r>
      <w:r>
        <w:rPr>
          <w:rFonts w:hint="eastAsia" w:ascii="仿宋_GB2312" w:eastAsia="仿宋_GB2312"/>
          <w:sz w:val="32"/>
          <w:szCs w:val="32"/>
        </w:rPr>
        <w:t>”为目标，深入开展人事制度改革理论和实践研究，重点对行业专技岗位结构比例动态调整机制、事业单位工作人员交流（选聘）和特设岗位设置管理、深化职称制度改革、军转安置、随军家属就业安置、人事考试安全等深入研究并提出对策建议。</w:t>
      </w:r>
    </w:p>
    <w:p>
      <w:pPr>
        <w:ind w:firstLine="662" w:firstLineChars="207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9.公共服务与基础建设。</w:t>
      </w:r>
      <w:r>
        <w:rPr>
          <w:rFonts w:hint="eastAsia" w:ascii="仿宋_GB2312" w:eastAsia="仿宋_GB2312"/>
          <w:sz w:val="32"/>
          <w:szCs w:val="32"/>
        </w:rPr>
        <w:t>以“</w:t>
      </w:r>
      <w:r>
        <w:rPr>
          <w:rFonts w:hint="eastAsia" w:ascii="仿宋_GB2312" w:eastAsia="仿宋_GB2312"/>
          <w:color w:val="000000"/>
          <w:sz w:val="32"/>
          <w:szCs w:val="32"/>
        </w:rPr>
        <w:t>高效便捷</w:t>
      </w:r>
      <w:r>
        <w:rPr>
          <w:rFonts w:hint="eastAsia" w:ascii="仿宋_GB2312" w:eastAsia="仿宋_GB2312"/>
          <w:sz w:val="32"/>
          <w:szCs w:val="32"/>
        </w:rPr>
        <w:t>”为目标，深入开展公共服务与基础建设理论和实践研究，重点对人力资源社会保障立法执法、推进公共服务均等化、阳光政务建设、网络公共服务平台建设、数据省集中和应用系统集中建设、社会保障卡推广应用等深入研究并提出对策建议。</w:t>
      </w:r>
    </w:p>
    <w:p>
      <w:pPr>
        <w:widowControl/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66A29"/>
    <w:rsid w:val="04666A29"/>
    <w:rsid w:val="04FA494E"/>
    <w:rsid w:val="0B0B6B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2017-03-06T02:23:00Z</dcterms:created>
  <dc:creator>Administrator</dc:creator>
  <cp:lastModifiedBy>Administrator</cp:lastModifiedBy>
  <dcterms:modified xsi:type="dcterms:W3CDTF">2017-03-06T02:24:08Z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